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8958DB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963357">
        <w:trPr>
          <w:trHeight w:val="77"/>
        </w:trPr>
        <w:tc>
          <w:tcPr>
            <w:tcW w:w="555" w:type="pct"/>
          </w:tcPr>
          <w:p w:rsidR="007506E0" w:rsidRPr="007D604D" w:rsidRDefault="007506E0" w:rsidP="00D8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7D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D29" w:rsidRPr="007D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19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72D29" w:rsidRPr="007D60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2, ПК 1.3,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</w:t>
            </w:r>
          </w:p>
          <w:p w:rsidR="00D8266A" w:rsidRDefault="00D8266A" w:rsidP="00D826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D8266A" w:rsidRPr="007D604D" w:rsidRDefault="00D8266A" w:rsidP="00D826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F419A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2360" w:type="pct"/>
          </w:tcPr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7506E0" w:rsidRPr="007506E0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7506E0" w:rsidRPr="008958DB" w:rsidRDefault="007506E0" w:rsidP="00D8266A">
            <w:pPr>
              <w:pStyle w:val="ConsPlusNormal"/>
              <w:numPr>
                <w:ilvl w:val="0"/>
                <w:numId w:val="5"/>
              </w:numPr>
              <w:ind w:left="0"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B"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9F419A" w:rsidRPr="00F526EF" w:rsidRDefault="007506E0" w:rsidP="00D8266A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F"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</w:tbl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4</w:t>
      </w:r>
      <w:r w:rsidR="00430607" w:rsidRPr="007D604D">
        <w:rPr>
          <w:rFonts w:ascii="Times New Roman" w:hAnsi="Times New Roman"/>
          <w:iCs/>
          <w:sz w:val="26"/>
          <w:szCs w:val="26"/>
        </w:rPr>
        <w:t>,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7D604D">
        <w:rPr>
          <w:rFonts w:ascii="Times New Roman" w:hAnsi="Times New Roman"/>
          <w:iCs/>
          <w:sz w:val="26"/>
          <w:szCs w:val="26"/>
        </w:rPr>
        <w:t>ОК</w:t>
      </w:r>
      <w:r w:rsidR="00322810" w:rsidRPr="007D604D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7D604D">
        <w:rPr>
          <w:rFonts w:ascii="Times New Roman" w:hAnsi="Times New Roman"/>
          <w:iCs/>
          <w:sz w:val="26"/>
          <w:szCs w:val="26"/>
        </w:rPr>
        <w:t>9</w:t>
      </w:r>
      <w:r w:rsidR="00E72D29" w:rsidRPr="007D604D">
        <w:rPr>
          <w:rFonts w:ascii="Times New Roman" w:hAnsi="Times New Roman"/>
          <w:iCs/>
          <w:sz w:val="26"/>
          <w:szCs w:val="26"/>
        </w:rPr>
        <w:t>, ПК 1.</w:t>
      </w:r>
      <w:r w:rsidR="00D8266A">
        <w:rPr>
          <w:rFonts w:ascii="Times New Roman" w:hAnsi="Times New Roman"/>
          <w:iCs/>
          <w:sz w:val="26"/>
          <w:szCs w:val="26"/>
        </w:rPr>
        <w:t>2, ПК 1.3, ПК 2.1, ПК 2.2, ПК 3.3</w:t>
      </w:r>
      <w:r w:rsidR="00E72D29" w:rsidRPr="007D604D">
        <w:rPr>
          <w:rFonts w:ascii="Times New Roman" w:hAnsi="Times New Roman"/>
          <w:iCs/>
          <w:sz w:val="26"/>
          <w:szCs w:val="26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:rsidTr="004669E2">
        <w:trPr>
          <w:trHeight w:val="327"/>
        </w:trPr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E72D29" w:rsidRDefault="00F526EF" w:rsidP="0052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E72D29" w:rsidRDefault="00520CEA" w:rsidP="0052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EA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E72D29" w:rsidRDefault="00520CEA" w:rsidP="0052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E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E72D29" w:rsidRDefault="00520CEA" w:rsidP="00520C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EA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:rsidTr="004669E2">
        <w:tc>
          <w:tcPr>
            <w:tcW w:w="1229" w:type="dxa"/>
            <w:vAlign w:val="center"/>
          </w:tcPr>
          <w:p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E72D29" w:rsidRDefault="00520CEA" w:rsidP="0052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E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969" w:type="dxa"/>
          </w:tcPr>
          <w:p w:rsidR="00D8266A" w:rsidRPr="00E72D29" w:rsidRDefault="00D8266A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8266A" w:rsidRPr="00F526EF" w:rsidTr="00963357">
        <w:trPr>
          <w:trHeight w:val="267"/>
        </w:trPr>
        <w:tc>
          <w:tcPr>
            <w:tcW w:w="1204" w:type="dxa"/>
            <w:vAlign w:val="center"/>
          </w:tcPr>
          <w:p w:rsidR="00D8266A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8266A" w:rsidRPr="00F526EF" w:rsidTr="00963357">
        <w:tc>
          <w:tcPr>
            <w:tcW w:w="1204" w:type="dxa"/>
            <w:vAlign w:val="center"/>
          </w:tcPr>
          <w:p w:rsidR="00D8266A" w:rsidRPr="00E72D29" w:rsidRDefault="00D8266A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8266A" w:rsidRPr="008420ED" w:rsidRDefault="00D8266A" w:rsidP="00D826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4669E2" w:rsidRPr="007D604D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</w:t>
      </w:r>
      <w:r w:rsidR="003E0896">
        <w:rPr>
          <w:rFonts w:ascii="Times New Roman" w:hAnsi="Times New Roman"/>
          <w:sz w:val="26"/>
          <w:szCs w:val="26"/>
        </w:rPr>
        <w:t>2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F526EF">
        <w:rPr>
          <w:rFonts w:ascii="Times New Roman" w:hAnsi="Times New Roman"/>
          <w:sz w:val="26"/>
          <w:szCs w:val="26"/>
        </w:rPr>
        <w:t>1</w:t>
      </w:r>
      <w:r w:rsidR="00D8266A">
        <w:rPr>
          <w:rFonts w:ascii="Times New Roman" w:hAnsi="Times New Roman"/>
          <w:sz w:val="26"/>
          <w:szCs w:val="26"/>
        </w:rPr>
        <w:t>0</w:t>
      </w:r>
      <w:r w:rsidR="003E0896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CB61E9">
        <w:rPr>
          <w:rFonts w:ascii="Times New Roman" w:hAnsi="Times New Roman"/>
          <w:sz w:val="26"/>
          <w:szCs w:val="26"/>
        </w:rPr>
        <w:t>98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CB61E9" w:rsidRPr="00BA3EBF" w:rsidRDefault="00CB61E9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3E0896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 w:rsidR="006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7D604D" w:rsidRPr="00F079F6" w:rsidRDefault="007D604D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3E0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7D604D" w:rsidRPr="00F079F6" w:rsidRDefault="007D604D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4</w:t>
            </w:r>
            <w:r w:rsidR="003E0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7D604D" w:rsidRPr="00F079F6" w:rsidRDefault="00963357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7D604D" w:rsidRPr="00F079F6" w:rsidRDefault="007D604D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3E08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963357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0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графических работ в ручной </w:t>
      </w:r>
      <w:r w:rsidR="00963357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графи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ке,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3E0896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20CEA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22</cp:revision>
  <dcterms:created xsi:type="dcterms:W3CDTF">2019-11-06T18:44:00Z</dcterms:created>
  <dcterms:modified xsi:type="dcterms:W3CDTF">2024-01-13T19:53:00Z</dcterms:modified>
</cp:coreProperties>
</file>